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284CFB" w:rsidRPr="00D91EBD" w:rsidRDefault="00284CFB" w:rsidP="00284CFB">
      <w:pPr>
        <w:pStyle w:val="NormalWeb"/>
        <w:spacing w:before="0" w:beforeAutospacing="0" w:after="0" w:afterAutospacing="0" w:line="480" w:lineRule="auto"/>
        <w:jc w:val="center"/>
        <w:rPr>
          <w:b/>
          <w:bCs/>
        </w:rPr>
      </w:pPr>
    </w:p>
    <w:p w:rsidR="00AE681C" w:rsidRPr="008A4E76" w:rsidRDefault="00AE681C" w:rsidP="00AE681C">
      <w:pPr>
        <w:pStyle w:val="NormalWeb"/>
        <w:spacing w:before="0" w:beforeAutospacing="0" w:after="0" w:afterAutospacing="0" w:line="480" w:lineRule="auto"/>
        <w:jc w:val="center"/>
        <w:rPr>
          <w:b/>
          <w:bCs/>
        </w:rPr>
      </w:pPr>
      <w:r>
        <w:rPr>
          <w:b/>
          <w:bCs/>
        </w:rPr>
        <w:t xml:space="preserve">Uninsured Patients with </w:t>
      </w:r>
      <w:r w:rsidR="006600CF">
        <w:rPr>
          <w:b/>
          <w:bCs/>
        </w:rPr>
        <w:t xml:space="preserve">High </w:t>
      </w:r>
      <w:r w:rsidR="00A1517F">
        <w:rPr>
          <w:b/>
          <w:bCs/>
        </w:rPr>
        <w:t>Ocular Pressure</w:t>
      </w:r>
    </w:p>
    <w:p w:rsidR="00284CFB" w:rsidRPr="00D91EBD" w:rsidRDefault="00284CFB" w:rsidP="00284CFB">
      <w:pPr>
        <w:pStyle w:val="NormalWeb"/>
        <w:spacing w:before="0" w:beforeAutospacing="0" w:after="0" w:afterAutospacing="0" w:line="480" w:lineRule="auto"/>
        <w:jc w:val="center"/>
        <w:rPr>
          <w:color w:val="0E101A"/>
        </w:rPr>
      </w:pPr>
      <w:r w:rsidRPr="00D91EBD">
        <w:rPr>
          <w:color w:val="0E101A"/>
        </w:rPr>
        <w:t>Name</w:t>
      </w:r>
    </w:p>
    <w:p w:rsidR="00284CFB" w:rsidRPr="00D91EBD" w:rsidRDefault="00284CFB" w:rsidP="00284CFB">
      <w:pPr>
        <w:pStyle w:val="NormalWeb"/>
        <w:spacing w:before="0" w:beforeAutospacing="0" w:after="0" w:afterAutospacing="0" w:line="480" w:lineRule="auto"/>
        <w:jc w:val="center"/>
        <w:rPr>
          <w:color w:val="0E101A"/>
        </w:rPr>
      </w:pPr>
      <w:r w:rsidRPr="00D91EBD">
        <w:rPr>
          <w:color w:val="0E101A"/>
        </w:rPr>
        <w:t>Institution</w:t>
      </w:r>
    </w:p>
    <w:p w:rsidR="00284CFB" w:rsidRPr="00D91EBD" w:rsidRDefault="00284CFB" w:rsidP="00284CFB">
      <w:pPr>
        <w:pStyle w:val="NormalWeb"/>
        <w:spacing w:before="0" w:beforeAutospacing="0" w:after="0" w:afterAutospacing="0" w:line="480" w:lineRule="auto"/>
        <w:jc w:val="center"/>
        <w:rPr>
          <w:color w:val="0E101A"/>
        </w:rPr>
      </w:pPr>
      <w:r w:rsidRPr="00D91EBD">
        <w:rPr>
          <w:color w:val="0E101A"/>
        </w:rPr>
        <w:t>Course</w:t>
      </w:r>
    </w:p>
    <w:p w:rsidR="00284CFB" w:rsidRPr="00D91EBD" w:rsidRDefault="00284CFB" w:rsidP="00284CFB">
      <w:pPr>
        <w:pStyle w:val="NormalWeb"/>
        <w:spacing w:before="0" w:beforeAutospacing="0" w:after="0" w:afterAutospacing="0" w:line="480" w:lineRule="auto"/>
        <w:jc w:val="center"/>
        <w:rPr>
          <w:color w:val="0E101A"/>
        </w:rPr>
      </w:pPr>
      <w:r w:rsidRPr="00D91EBD">
        <w:rPr>
          <w:color w:val="0E101A"/>
        </w:rPr>
        <w:t>Professor</w:t>
      </w:r>
    </w:p>
    <w:p w:rsidR="00284CFB" w:rsidRDefault="00284CFB" w:rsidP="00284CFB">
      <w:pPr>
        <w:pStyle w:val="NormalWeb"/>
        <w:spacing w:before="0" w:beforeAutospacing="0" w:after="0" w:afterAutospacing="0" w:line="480" w:lineRule="auto"/>
        <w:jc w:val="center"/>
        <w:rPr>
          <w:color w:val="0E101A"/>
        </w:rPr>
      </w:pPr>
      <w:r w:rsidRPr="00D91EBD">
        <w:rPr>
          <w:color w:val="0E101A"/>
        </w:rPr>
        <w:t>Date</w:t>
      </w:r>
    </w:p>
    <w:p w:rsidR="00284CFB" w:rsidRDefault="00284CFB" w:rsidP="00284CFB">
      <w:pPr>
        <w:pStyle w:val="NormalWeb"/>
        <w:spacing w:before="0" w:beforeAutospacing="0" w:after="0" w:afterAutospacing="0" w:line="480" w:lineRule="auto"/>
        <w:jc w:val="center"/>
        <w:rPr>
          <w:color w:val="0E101A"/>
        </w:rPr>
      </w:pPr>
    </w:p>
    <w:p w:rsidR="00284CFB" w:rsidRDefault="00284CFB" w:rsidP="00284CFB">
      <w:pPr>
        <w:pStyle w:val="NormalWeb"/>
        <w:spacing w:before="0" w:beforeAutospacing="0" w:after="0" w:afterAutospacing="0" w:line="480" w:lineRule="auto"/>
        <w:jc w:val="center"/>
        <w:rPr>
          <w:color w:val="0E101A"/>
        </w:rPr>
      </w:pPr>
    </w:p>
    <w:p w:rsidR="00284CFB" w:rsidRDefault="00284CFB" w:rsidP="00284CFB">
      <w:pPr>
        <w:pStyle w:val="NormalWeb"/>
        <w:spacing w:before="0" w:beforeAutospacing="0" w:after="0" w:afterAutospacing="0" w:line="480" w:lineRule="auto"/>
        <w:jc w:val="center"/>
        <w:rPr>
          <w:color w:val="0E101A"/>
        </w:rPr>
      </w:pPr>
    </w:p>
    <w:p w:rsidR="00284CFB" w:rsidRDefault="00284CFB" w:rsidP="00284CFB">
      <w:pPr>
        <w:pStyle w:val="NormalWeb"/>
        <w:spacing w:before="0" w:beforeAutospacing="0" w:after="0" w:afterAutospacing="0" w:line="480" w:lineRule="auto"/>
        <w:jc w:val="center"/>
        <w:rPr>
          <w:color w:val="0E101A"/>
        </w:rPr>
      </w:pPr>
    </w:p>
    <w:p w:rsidR="00284CFB" w:rsidRDefault="00284CFB" w:rsidP="00284CFB">
      <w:pPr>
        <w:pStyle w:val="NormalWeb"/>
        <w:spacing w:before="0" w:beforeAutospacing="0" w:after="0" w:afterAutospacing="0" w:line="480" w:lineRule="auto"/>
        <w:jc w:val="center"/>
        <w:rPr>
          <w:color w:val="0E101A"/>
        </w:rPr>
      </w:pPr>
    </w:p>
    <w:p w:rsidR="00284CFB" w:rsidRDefault="00284CFB" w:rsidP="00284CFB">
      <w:pPr>
        <w:pStyle w:val="NormalWeb"/>
        <w:spacing w:before="0" w:beforeAutospacing="0" w:after="0" w:afterAutospacing="0" w:line="480" w:lineRule="auto"/>
        <w:jc w:val="center"/>
        <w:rPr>
          <w:color w:val="0E101A"/>
        </w:rPr>
      </w:pPr>
    </w:p>
    <w:p w:rsidR="00284CFB" w:rsidRDefault="00284CFB" w:rsidP="00284CFB">
      <w:pPr>
        <w:pStyle w:val="NormalWeb"/>
        <w:spacing w:before="0" w:beforeAutospacing="0" w:after="0" w:afterAutospacing="0" w:line="480" w:lineRule="auto"/>
        <w:jc w:val="center"/>
        <w:rPr>
          <w:color w:val="0E101A"/>
        </w:rPr>
      </w:pPr>
    </w:p>
    <w:p w:rsidR="00284CFB" w:rsidRPr="008A4E76" w:rsidRDefault="00AE681C" w:rsidP="00284CFB">
      <w:pPr>
        <w:pStyle w:val="NormalWeb"/>
        <w:spacing w:before="0" w:beforeAutospacing="0" w:after="0" w:afterAutospacing="0" w:line="480" w:lineRule="auto"/>
        <w:jc w:val="center"/>
        <w:rPr>
          <w:b/>
          <w:bCs/>
        </w:rPr>
      </w:pPr>
      <w:r>
        <w:rPr>
          <w:b/>
          <w:bCs/>
        </w:rPr>
        <w:lastRenderedPageBreak/>
        <w:t xml:space="preserve">Uninsured Patients with </w:t>
      </w:r>
      <w:r w:rsidR="006600CF">
        <w:rPr>
          <w:b/>
          <w:bCs/>
        </w:rPr>
        <w:t xml:space="preserve">High </w:t>
      </w:r>
      <w:r w:rsidR="00A1517F">
        <w:rPr>
          <w:b/>
          <w:bCs/>
        </w:rPr>
        <w:t>Ocular Pressure</w:t>
      </w:r>
    </w:p>
    <w:p w:rsidR="00B66825" w:rsidRDefault="00B66825" w:rsidP="00B66825">
      <w:pPr>
        <w:spacing w:line="480" w:lineRule="auto"/>
        <w:ind w:firstLine="720"/>
        <w:jc w:val="both"/>
        <w:rPr>
          <w:rFonts w:ascii="Times New Roman" w:hAnsi="Times New Roman" w:cs="Times New Roman"/>
          <w:sz w:val="24"/>
          <w:szCs w:val="24"/>
        </w:rPr>
      </w:pPr>
      <w:r w:rsidRPr="00D01A47">
        <w:rPr>
          <w:rFonts w:ascii="Times New Roman" w:hAnsi="Times New Roman" w:cs="Times New Roman"/>
          <w:sz w:val="24"/>
          <w:szCs w:val="24"/>
        </w:rPr>
        <w:t xml:space="preserve">With health care </w:t>
      </w:r>
      <w:r>
        <w:rPr>
          <w:rFonts w:ascii="Times New Roman" w:hAnsi="Times New Roman" w:cs="Times New Roman"/>
          <w:sz w:val="24"/>
          <w:szCs w:val="24"/>
        </w:rPr>
        <w:t xml:space="preserve">shifting </w:t>
      </w:r>
      <w:r w:rsidRPr="00D01A47">
        <w:rPr>
          <w:rFonts w:ascii="Times New Roman" w:hAnsi="Times New Roman" w:cs="Times New Roman"/>
          <w:sz w:val="24"/>
          <w:szCs w:val="24"/>
        </w:rPr>
        <w:t>toward a</w:t>
      </w:r>
      <w:r>
        <w:rPr>
          <w:rFonts w:ascii="Times New Roman" w:hAnsi="Times New Roman" w:cs="Times New Roman"/>
          <w:sz w:val="24"/>
          <w:szCs w:val="24"/>
        </w:rPr>
        <w:t>n</w:t>
      </w:r>
      <w:r w:rsidRPr="00D01A47">
        <w:rPr>
          <w:rFonts w:ascii="Times New Roman" w:hAnsi="Times New Roman" w:cs="Times New Roman"/>
          <w:sz w:val="24"/>
          <w:szCs w:val="24"/>
        </w:rPr>
        <w:t xml:space="preserve"> emphasis on health outcomes in the community and value-based care, social determinants of health have emerged as critical observing systems for achieving health equity. The pandemic has lately </w:t>
      </w:r>
      <w:r>
        <w:rPr>
          <w:rFonts w:ascii="Times New Roman" w:hAnsi="Times New Roman" w:cs="Times New Roman"/>
          <w:sz w:val="24"/>
          <w:szCs w:val="24"/>
        </w:rPr>
        <w:t>exposed</w:t>
      </w:r>
      <w:r w:rsidRPr="00D01A47">
        <w:rPr>
          <w:rFonts w:ascii="Times New Roman" w:hAnsi="Times New Roman" w:cs="Times New Roman"/>
          <w:sz w:val="24"/>
          <w:szCs w:val="24"/>
        </w:rPr>
        <w:t xml:space="preserve"> the extreme vulnerability that minority groups and underprivileged communities fac</w:t>
      </w:r>
      <w:r w:rsidR="00397506">
        <w:rPr>
          <w:rFonts w:ascii="Times New Roman" w:hAnsi="Times New Roman" w:cs="Times New Roman"/>
          <w:sz w:val="24"/>
          <w:szCs w:val="24"/>
        </w:rPr>
        <w:t>e</w:t>
      </w:r>
      <w:r w:rsidRPr="00D01A47">
        <w:rPr>
          <w:rFonts w:ascii="Times New Roman" w:hAnsi="Times New Roman" w:cs="Times New Roman"/>
          <w:sz w:val="24"/>
          <w:szCs w:val="24"/>
        </w:rPr>
        <w:t xml:space="preserve">. There are substantial and </w:t>
      </w:r>
      <w:r>
        <w:rPr>
          <w:rFonts w:ascii="Times New Roman" w:hAnsi="Times New Roman" w:cs="Times New Roman"/>
          <w:sz w:val="24"/>
          <w:szCs w:val="24"/>
        </w:rPr>
        <w:t>continuous</w:t>
      </w:r>
      <w:r w:rsidRPr="00D01A47">
        <w:rPr>
          <w:rFonts w:ascii="Times New Roman" w:hAnsi="Times New Roman" w:cs="Times New Roman"/>
          <w:sz w:val="24"/>
          <w:szCs w:val="24"/>
        </w:rPr>
        <w:t xml:space="preserve"> racial inequities in health </w:t>
      </w:r>
      <w:r w:rsidR="003A436E" w:rsidRPr="00D01A47">
        <w:rPr>
          <w:rFonts w:ascii="Times New Roman" w:hAnsi="Times New Roman" w:cs="Times New Roman"/>
          <w:sz w:val="24"/>
          <w:szCs w:val="24"/>
        </w:rPr>
        <w:t>coverage</w:t>
      </w:r>
      <w:r w:rsidR="003A436E">
        <w:rPr>
          <w:rFonts w:ascii="Times New Roman" w:hAnsi="Times New Roman" w:cs="Times New Roman"/>
          <w:sz w:val="24"/>
          <w:szCs w:val="24"/>
        </w:rPr>
        <w:t>,</w:t>
      </w:r>
      <w:r w:rsidR="003A436E" w:rsidRPr="00D01A47">
        <w:rPr>
          <w:rFonts w:ascii="Times New Roman" w:hAnsi="Times New Roman" w:cs="Times New Roman"/>
          <w:sz w:val="24"/>
          <w:szCs w:val="24"/>
        </w:rPr>
        <w:t xml:space="preserve"> mental</w:t>
      </w:r>
      <w:r w:rsidRPr="00D01A47">
        <w:rPr>
          <w:rFonts w:ascii="Times New Roman" w:hAnsi="Times New Roman" w:cs="Times New Roman"/>
          <w:sz w:val="24"/>
          <w:szCs w:val="24"/>
        </w:rPr>
        <w:t xml:space="preserve"> health, chronic </w:t>
      </w:r>
      <w:r>
        <w:rPr>
          <w:rFonts w:ascii="Times New Roman" w:hAnsi="Times New Roman" w:cs="Times New Roman"/>
          <w:sz w:val="24"/>
          <w:szCs w:val="24"/>
        </w:rPr>
        <w:t xml:space="preserve">health </w:t>
      </w:r>
      <w:r w:rsidR="003A436E">
        <w:rPr>
          <w:rFonts w:ascii="Times New Roman" w:hAnsi="Times New Roman" w:cs="Times New Roman"/>
          <w:sz w:val="24"/>
          <w:szCs w:val="24"/>
        </w:rPr>
        <w:t>conditions</w:t>
      </w:r>
      <w:r w:rsidR="003A436E" w:rsidRPr="00D01A47">
        <w:rPr>
          <w:rFonts w:ascii="Times New Roman" w:hAnsi="Times New Roman" w:cs="Times New Roman"/>
          <w:sz w:val="24"/>
          <w:szCs w:val="24"/>
        </w:rPr>
        <w:t>, and</w:t>
      </w:r>
      <w:r w:rsidRPr="00D01A47">
        <w:rPr>
          <w:rFonts w:ascii="Times New Roman" w:hAnsi="Times New Roman" w:cs="Times New Roman"/>
          <w:sz w:val="24"/>
          <w:szCs w:val="24"/>
        </w:rPr>
        <w:t xml:space="preserve"> mortality in the United States. These gaps are the</w:t>
      </w:r>
      <w:r>
        <w:rPr>
          <w:rFonts w:ascii="Times New Roman" w:hAnsi="Times New Roman" w:cs="Times New Roman"/>
          <w:sz w:val="24"/>
          <w:szCs w:val="24"/>
        </w:rPr>
        <w:t xml:space="preserve"> result</w:t>
      </w:r>
      <w:r w:rsidRPr="00D01A47">
        <w:rPr>
          <w:rFonts w:ascii="Times New Roman" w:hAnsi="Times New Roman" w:cs="Times New Roman"/>
          <w:sz w:val="24"/>
          <w:szCs w:val="24"/>
        </w:rPr>
        <w:t xml:space="preserve"> of years of systematic injustice in the economic, property, and healthcare systems and less of individual or group conduct</w:t>
      </w:r>
      <w:r>
        <w:rPr>
          <w:rFonts w:ascii="Times New Roman" w:hAnsi="Times New Roman" w:cs="Times New Roman"/>
          <w:sz w:val="24"/>
          <w:szCs w:val="24"/>
        </w:rPr>
        <w:t xml:space="preserve"> in America</w:t>
      </w:r>
      <w:r w:rsidR="00397506">
        <w:rPr>
          <w:rFonts w:ascii="Times New Roman" w:hAnsi="Times New Roman" w:cs="Times New Roman"/>
          <w:sz w:val="24"/>
          <w:szCs w:val="24"/>
        </w:rPr>
        <w:t>(Hill-Briggs et al., 2021)</w:t>
      </w:r>
      <w:r>
        <w:rPr>
          <w:rFonts w:ascii="Times New Roman" w:hAnsi="Times New Roman" w:cs="Times New Roman"/>
          <w:sz w:val="24"/>
          <w:szCs w:val="24"/>
        </w:rPr>
        <w:t xml:space="preserve">. </w:t>
      </w:r>
      <w:r w:rsidRPr="00D01A47">
        <w:rPr>
          <w:rFonts w:ascii="Times New Roman" w:hAnsi="Times New Roman" w:cs="Times New Roman"/>
          <w:sz w:val="24"/>
          <w:szCs w:val="24"/>
        </w:rPr>
        <w:t xml:space="preserve">Many individuals who fall in this category have a hard time getting access to healthcare and constant medication, which places them at a high risk of developing complications and death. </w:t>
      </w:r>
    </w:p>
    <w:p w:rsidR="00B66825" w:rsidRDefault="00B66825" w:rsidP="00B66825">
      <w:pPr>
        <w:spacing w:line="480" w:lineRule="auto"/>
        <w:ind w:firstLine="720"/>
        <w:jc w:val="both"/>
        <w:rPr>
          <w:rFonts w:ascii="Times New Roman" w:hAnsi="Times New Roman" w:cs="Times New Roman"/>
          <w:sz w:val="24"/>
          <w:szCs w:val="24"/>
        </w:rPr>
      </w:pPr>
      <w:r w:rsidRPr="00D01A47">
        <w:rPr>
          <w:rFonts w:ascii="Times New Roman" w:hAnsi="Times New Roman" w:cs="Times New Roman"/>
          <w:sz w:val="24"/>
          <w:szCs w:val="24"/>
        </w:rPr>
        <w:t xml:space="preserve">A scenario of a </w:t>
      </w:r>
      <w:r w:rsidRPr="00805A9D">
        <w:rPr>
          <w:rFonts w:ascii="Times New Roman" w:hAnsi="Times New Roman" w:cs="Times New Roman"/>
          <w:sz w:val="24"/>
          <w:szCs w:val="24"/>
        </w:rPr>
        <w:t xml:space="preserve">56-year-old man with a work-related facial </w:t>
      </w:r>
      <w:r w:rsidR="003A436E" w:rsidRPr="00805A9D">
        <w:rPr>
          <w:rFonts w:ascii="Times New Roman" w:hAnsi="Times New Roman" w:cs="Times New Roman"/>
          <w:sz w:val="24"/>
          <w:szCs w:val="24"/>
        </w:rPr>
        <w:t>injury</w:t>
      </w:r>
      <w:r w:rsidR="003A436E" w:rsidRPr="00D01A47">
        <w:rPr>
          <w:rFonts w:ascii="Times New Roman" w:hAnsi="Times New Roman" w:cs="Times New Roman"/>
          <w:sz w:val="24"/>
          <w:szCs w:val="24"/>
        </w:rPr>
        <w:t xml:space="preserve"> explains</w:t>
      </w:r>
      <w:r w:rsidRPr="00D01A47">
        <w:rPr>
          <w:rFonts w:ascii="Times New Roman" w:hAnsi="Times New Roman" w:cs="Times New Roman"/>
          <w:sz w:val="24"/>
          <w:szCs w:val="24"/>
        </w:rPr>
        <w:t xml:space="preserve"> the tragic state of uninsured patients</w:t>
      </w:r>
      <w:r w:rsidRPr="00805A9D">
        <w:rPr>
          <w:rFonts w:ascii="Times New Roman" w:hAnsi="Times New Roman" w:cs="Times New Roman"/>
          <w:sz w:val="24"/>
          <w:szCs w:val="24"/>
        </w:rPr>
        <w:t xml:space="preserve">. </w:t>
      </w:r>
      <w:r w:rsidRPr="00D01A47">
        <w:rPr>
          <w:rFonts w:ascii="Times New Roman" w:hAnsi="Times New Roman" w:cs="Times New Roman"/>
          <w:sz w:val="24"/>
          <w:szCs w:val="24"/>
        </w:rPr>
        <w:t>The patient managed to get to a free clinic offering free to reduced fees in their healthcare services to people who have no access to primary care or are economically disadvantaged. Like all other free-clinics, the clinic was highly dependent on volunteers and had limited staff and resources, especially due to the adverse effects of the pandemic</w:t>
      </w:r>
      <w:r w:rsidR="00397506">
        <w:rPr>
          <w:rFonts w:ascii="Times New Roman" w:hAnsi="Times New Roman" w:cs="Times New Roman"/>
          <w:sz w:val="24"/>
          <w:szCs w:val="24"/>
        </w:rPr>
        <w:t xml:space="preserve"> (Kim et al., 2020)</w:t>
      </w:r>
      <w:r w:rsidRPr="00D01A47">
        <w:rPr>
          <w:rFonts w:ascii="Times New Roman" w:hAnsi="Times New Roman" w:cs="Times New Roman"/>
          <w:sz w:val="24"/>
          <w:szCs w:val="24"/>
        </w:rPr>
        <w:t xml:space="preserve">. </w:t>
      </w:r>
      <w:r w:rsidRPr="00805A9D">
        <w:rPr>
          <w:rFonts w:ascii="Times New Roman" w:hAnsi="Times New Roman" w:cs="Times New Roman"/>
          <w:sz w:val="24"/>
          <w:szCs w:val="24"/>
        </w:rPr>
        <w:t>He was referred to ophthalmolog</w:t>
      </w:r>
      <w:r>
        <w:rPr>
          <w:rFonts w:ascii="Times New Roman" w:hAnsi="Times New Roman" w:cs="Times New Roman"/>
          <w:sz w:val="24"/>
          <w:szCs w:val="24"/>
        </w:rPr>
        <w:t>ist</w:t>
      </w:r>
      <w:r w:rsidRPr="00805A9D">
        <w:rPr>
          <w:rFonts w:ascii="Times New Roman" w:hAnsi="Times New Roman" w:cs="Times New Roman"/>
          <w:sz w:val="24"/>
          <w:szCs w:val="24"/>
        </w:rPr>
        <w:t xml:space="preserve"> and told he had extremely high ocular pressure, which was not related to his </w:t>
      </w:r>
      <w:r w:rsidR="003A436E" w:rsidRPr="00805A9D">
        <w:rPr>
          <w:rFonts w:ascii="Times New Roman" w:hAnsi="Times New Roman" w:cs="Times New Roman"/>
          <w:sz w:val="24"/>
          <w:szCs w:val="24"/>
        </w:rPr>
        <w:t>job.</w:t>
      </w:r>
      <w:r w:rsidR="003A436E" w:rsidRPr="00C406C7">
        <w:rPr>
          <w:rFonts w:ascii="Times New Roman" w:hAnsi="Times New Roman" w:cs="Times New Roman"/>
          <w:sz w:val="24"/>
          <w:szCs w:val="24"/>
        </w:rPr>
        <w:t xml:space="preserve"> Due</w:t>
      </w:r>
      <w:r w:rsidRPr="00C406C7">
        <w:rPr>
          <w:rFonts w:ascii="Times New Roman" w:hAnsi="Times New Roman" w:cs="Times New Roman"/>
          <w:sz w:val="24"/>
          <w:szCs w:val="24"/>
        </w:rPr>
        <w:t xml:space="preserve"> to occlusion of the outflow processes by iris, blood, inflammatory material, or other compounds, ocular trauma can reduce aqueous outflow, resulting in an increase in Intraocular Pressure</w:t>
      </w:r>
      <w:r>
        <w:rPr>
          <w:rFonts w:ascii="Times New Roman" w:hAnsi="Times New Roman" w:cs="Times New Roman"/>
          <w:sz w:val="24"/>
          <w:szCs w:val="24"/>
        </w:rPr>
        <w:t xml:space="preserve"> which makes the patient susceptible to visual impairment if the eye is not treated</w:t>
      </w:r>
      <w:r w:rsidR="00DB7101">
        <w:rPr>
          <w:rFonts w:ascii="Times New Roman" w:hAnsi="Times New Roman" w:cs="Times New Roman"/>
          <w:sz w:val="24"/>
          <w:szCs w:val="24"/>
        </w:rPr>
        <w:t xml:space="preserve"> (Vaajanen et al., 2016)</w:t>
      </w:r>
      <w:r>
        <w:rPr>
          <w:rFonts w:ascii="Times New Roman" w:hAnsi="Times New Roman" w:cs="Times New Roman"/>
          <w:sz w:val="24"/>
          <w:szCs w:val="24"/>
        </w:rPr>
        <w:t>.</w:t>
      </w:r>
    </w:p>
    <w:p w:rsidR="00B66825" w:rsidRDefault="00B66825" w:rsidP="00B6682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Moreover, the p</w:t>
      </w:r>
      <w:r w:rsidRPr="00805A9D">
        <w:rPr>
          <w:rFonts w:ascii="Times New Roman" w:hAnsi="Times New Roman" w:cs="Times New Roman"/>
          <w:sz w:val="24"/>
          <w:szCs w:val="24"/>
        </w:rPr>
        <w:t>atient ha</w:t>
      </w:r>
      <w:r>
        <w:rPr>
          <w:rFonts w:ascii="Times New Roman" w:hAnsi="Times New Roman" w:cs="Times New Roman"/>
          <w:sz w:val="24"/>
          <w:szCs w:val="24"/>
        </w:rPr>
        <w:t>d</w:t>
      </w:r>
      <w:r w:rsidRPr="00805A9D">
        <w:rPr>
          <w:rFonts w:ascii="Times New Roman" w:hAnsi="Times New Roman" w:cs="Times New Roman"/>
          <w:sz w:val="24"/>
          <w:szCs w:val="24"/>
        </w:rPr>
        <w:t xml:space="preserve"> no insurance and </w:t>
      </w:r>
      <w:r>
        <w:rPr>
          <w:rFonts w:ascii="Times New Roman" w:hAnsi="Times New Roman" w:cs="Times New Roman"/>
          <w:sz w:val="24"/>
          <w:szCs w:val="24"/>
        </w:rPr>
        <w:t>had to</w:t>
      </w:r>
      <w:r w:rsidRPr="00805A9D">
        <w:rPr>
          <w:rFonts w:ascii="Times New Roman" w:hAnsi="Times New Roman" w:cs="Times New Roman"/>
          <w:sz w:val="24"/>
          <w:szCs w:val="24"/>
        </w:rPr>
        <w:t xml:space="preserve"> pay for his eyes to be corrected because the injury was classified as non-industrial. </w:t>
      </w:r>
      <w:r>
        <w:rPr>
          <w:rFonts w:ascii="Times New Roman" w:hAnsi="Times New Roman" w:cs="Times New Roman"/>
          <w:sz w:val="24"/>
          <w:szCs w:val="24"/>
        </w:rPr>
        <w:t xml:space="preserve">In most cases, ophthalmic check-up is </w:t>
      </w:r>
      <w:r>
        <w:rPr>
          <w:rFonts w:ascii="Times New Roman" w:hAnsi="Times New Roman" w:cs="Times New Roman"/>
          <w:sz w:val="24"/>
          <w:szCs w:val="24"/>
        </w:rPr>
        <w:lastRenderedPageBreak/>
        <w:t>expensive for individuals living with economic challenges such as him</w:t>
      </w:r>
      <w:r w:rsidR="000A64EF">
        <w:rPr>
          <w:rFonts w:ascii="Times New Roman" w:hAnsi="Times New Roman" w:cs="Times New Roman"/>
          <w:sz w:val="24"/>
          <w:szCs w:val="24"/>
        </w:rPr>
        <w:t xml:space="preserve"> (Guo et al., 2016)</w:t>
      </w:r>
      <w:r>
        <w:rPr>
          <w:rFonts w:ascii="Times New Roman" w:hAnsi="Times New Roman" w:cs="Times New Roman"/>
          <w:sz w:val="24"/>
          <w:szCs w:val="24"/>
        </w:rPr>
        <w:t xml:space="preserve">. </w:t>
      </w:r>
      <w:r w:rsidRPr="00805A9D">
        <w:rPr>
          <w:rFonts w:ascii="Times New Roman" w:hAnsi="Times New Roman" w:cs="Times New Roman"/>
          <w:sz w:val="24"/>
          <w:szCs w:val="24"/>
        </w:rPr>
        <w:t>He is currently unable to work owing to an injury to his neck and teeth</w:t>
      </w:r>
      <w:r>
        <w:rPr>
          <w:rFonts w:ascii="Times New Roman" w:hAnsi="Times New Roman" w:cs="Times New Roman"/>
          <w:sz w:val="24"/>
          <w:szCs w:val="24"/>
        </w:rPr>
        <w:t xml:space="preserve">. </w:t>
      </w:r>
      <w:r w:rsidRPr="000E0C92">
        <w:rPr>
          <w:rFonts w:ascii="Times New Roman" w:hAnsi="Times New Roman" w:cs="Times New Roman"/>
          <w:sz w:val="24"/>
          <w:szCs w:val="24"/>
        </w:rPr>
        <w:t>Even with the Affordable Care Act, employer-sponsored health insurance accounts for two-thirds of all insurance in the United States</w:t>
      </w:r>
      <w:r w:rsidR="00885EB0">
        <w:rPr>
          <w:rFonts w:ascii="Times New Roman" w:hAnsi="Times New Roman" w:cs="Times New Roman"/>
          <w:sz w:val="24"/>
          <w:szCs w:val="24"/>
        </w:rPr>
        <w:t xml:space="preserve"> (Kim et al., 2020)</w:t>
      </w:r>
      <w:r w:rsidRPr="000E0C92">
        <w:rPr>
          <w:rFonts w:ascii="Times New Roman" w:hAnsi="Times New Roman" w:cs="Times New Roman"/>
          <w:sz w:val="24"/>
          <w:szCs w:val="24"/>
        </w:rPr>
        <w:t>.</w:t>
      </w:r>
      <w:r>
        <w:rPr>
          <w:rFonts w:ascii="Times New Roman" w:hAnsi="Times New Roman" w:cs="Times New Roman"/>
          <w:sz w:val="24"/>
          <w:szCs w:val="24"/>
        </w:rPr>
        <w:t xml:space="preserve"> In this case, the patient has no means to generate income which further increases financial pressure since he cannot appropriately work with the injuries he succumbed to.</w:t>
      </w:r>
      <w:r w:rsidRPr="000E0C92">
        <w:rPr>
          <w:rFonts w:ascii="Times New Roman" w:hAnsi="Times New Roman" w:cs="Times New Roman"/>
          <w:sz w:val="24"/>
          <w:szCs w:val="24"/>
        </w:rPr>
        <w:t xml:space="preserve"> In addition to having lower financial resources to acquire insurance while unemployed, the lack of employer-sponsored medical insurance may be contributing to unemployment being such a big risk factor for not having health insurance</w:t>
      </w:r>
      <w:r w:rsidR="00885EB0">
        <w:rPr>
          <w:rFonts w:ascii="Times New Roman" w:hAnsi="Times New Roman" w:cs="Times New Roman"/>
          <w:sz w:val="24"/>
          <w:szCs w:val="24"/>
        </w:rPr>
        <w:t xml:space="preserve"> (Kim et al., 2020)</w:t>
      </w:r>
      <w:r w:rsidRPr="000E0C92">
        <w:rPr>
          <w:rFonts w:ascii="Times New Roman" w:hAnsi="Times New Roman" w:cs="Times New Roman"/>
          <w:sz w:val="24"/>
          <w:szCs w:val="24"/>
        </w:rPr>
        <w:t>.</w:t>
      </w:r>
    </w:p>
    <w:p w:rsidR="00B66825" w:rsidRDefault="00B66825" w:rsidP="00B66825">
      <w:pPr>
        <w:spacing w:line="480" w:lineRule="auto"/>
        <w:ind w:firstLine="720"/>
        <w:jc w:val="both"/>
        <w:rPr>
          <w:rFonts w:ascii="Times New Roman" w:hAnsi="Times New Roman" w:cs="Times New Roman"/>
          <w:sz w:val="24"/>
          <w:szCs w:val="24"/>
        </w:rPr>
      </w:pPr>
      <w:r w:rsidRPr="000B3648">
        <w:rPr>
          <w:rFonts w:ascii="Times New Roman" w:hAnsi="Times New Roman" w:cs="Times New Roman"/>
          <w:sz w:val="24"/>
          <w:szCs w:val="24"/>
        </w:rPr>
        <w:t xml:space="preserve">Patients who have suffered </w:t>
      </w:r>
      <w:r w:rsidR="00CE01E7">
        <w:rPr>
          <w:rFonts w:ascii="Times New Roman" w:hAnsi="Times New Roman" w:cs="Times New Roman"/>
          <w:sz w:val="24"/>
          <w:szCs w:val="24"/>
        </w:rPr>
        <w:t xml:space="preserve">eye and </w:t>
      </w:r>
      <w:r w:rsidRPr="000B3648">
        <w:rPr>
          <w:rFonts w:ascii="Times New Roman" w:hAnsi="Times New Roman" w:cs="Times New Roman"/>
          <w:sz w:val="24"/>
          <w:szCs w:val="24"/>
        </w:rPr>
        <w:t xml:space="preserve">dental trauma </w:t>
      </w:r>
      <w:r>
        <w:rPr>
          <w:rFonts w:ascii="Times New Roman" w:hAnsi="Times New Roman" w:cs="Times New Roman"/>
          <w:sz w:val="24"/>
          <w:szCs w:val="24"/>
        </w:rPr>
        <w:t>such as the teeth injury that the patient had from the head trauma</w:t>
      </w:r>
      <w:r w:rsidRPr="000B3648">
        <w:rPr>
          <w:rFonts w:ascii="Times New Roman" w:hAnsi="Times New Roman" w:cs="Times New Roman"/>
          <w:sz w:val="24"/>
          <w:szCs w:val="24"/>
        </w:rPr>
        <w:t xml:space="preserve"> necessitate numerous appointments or follow-up examinations over time. The nature and conditions that cause trauma might have a wide range of success rates. This has obvious financial and quality-of-life ramifications, and it is a crucial aspect of management and pa</w:t>
      </w:r>
      <w:r w:rsidR="00CE01E7">
        <w:rPr>
          <w:rFonts w:ascii="Times New Roman" w:hAnsi="Times New Roman" w:cs="Times New Roman"/>
          <w:sz w:val="24"/>
          <w:szCs w:val="24"/>
        </w:rPr>
        <w:t>tient</w:t>
      </w:r>
      <w:r w:rsidRPr="000B3648">
        <w:rPr>
          <w:rFonts w:ascii="Times New Roman" w:hAnsi="Times New Roman" w:cs="Times New Roman"/>
          <w:sz w:val="24"/>
          <w:szCs w:val="24"/>
        </w:rPr>
        <w:t xml:space="preserve"> consent</w:t>
      </w:r>
      <w:r w:rsidR="00CE01E7">
        <w:rPr>
          <w:rFonts w:ascii="Times New Roman" w:hAnsi="Times New Roman" w:cs="Times New Roman"/>
          <w:sz w:val="24"/>
          <w:szCs w:val="24"/>
        </w:rPr>
        <w:t xml:space="preserve"> (Guo et al., 2016)</w:t>
      </w:r>
      <w:r w:rsidRPr="000B3648">
        <w:rPr>
          <w:rFonts w:ascii="Times New Roman" w:hAnsi="Times New Roman" w:cs="Times New Roman"/>
          <w:sz w:val="24"/>
          <w:szCs w:val="24"/>
        </w:rPr>
        <w:t>.</w:t>
      </w:r>
      <w:r>
        <w:rPr>
          <w:rFonts w:ascii="Times New Roman" w:hAnsi="Times New Roman" w:cs="Times New Roman"/>
          <w:sz w:val="24"/>
          <w:szCs w:val="24"/>
        </w:rPr>
        <w:t xml:space="preserve"> However, in the case of this patient, the financial strain of financing ophthalmic and dental visits is high due to him lacking private insurance. </w:t>
      </w:r>
      <w:r w:rsidRPr="00D01A47">
        <w:rPr>
          <w:rFonts w:ascii="Times New Roman" w:hAnsi="Times New Roman" w:cs="Times New Roman"/>
          <w:sz w:val="24"/>
          <w:szCs w:val="24"/>
        </w:rPr>
        <w:t xml:space="preserve">Living in a low-income neighborhood and not having health insurance makes out-of-pocket payments for </w:t>
      </w:r>
      <w:r w:rsidR="00234F93">
        <w:rPr>
          <w:rFonts w:ascii="Times New Roman" w:hAnsi="Times New Roman" w:cs="Times New Roman"/>
          <w:sz w:val="24"/>
          <w:szCs w:val="24"/>
        </w:rPr>
        <w:t xml:space="preserve">pain </w:t>
      </w:r>
      <w:r w:rsidRPr="00D01A47">
        <w:rPr>
          <w:rFonts w:ascii="Times New Roman" w:hAnsi="Times New Roman" w:cs="Times New Roman"/>
          <w:sz w:val="24"/>
          <w:szCs w:val="24"/>
        </w:rPr>
        <w:t>control medication and diet difficult, resulting in financial stress.</w:t>
      </w:r>
    </w:p>
    <w:p w:rsidR="00B66825" w:rsidRDefault="00B66825" w:rsidP="00B66825">
      <w:pPr>
        <w:spacing w:line="480" w:lineRule="auto"/>
        <w:ind w:firstLine="720"/>
        <w:jc w:val="both"/>
        <w:rPr>
          <w:rFonts w:ascii="Times New Roman" w:hAnsi="Times New Roman" w:cs="Times New Roman"/>
          <w:sz w:val="24"/>
          <w:szCs w:val="24"/>
        </w:rPr>
      </w:pPr>
      <w:r w:rsidRPr="00D01A47">
        <w:rPr>
          <w:rFonts w:ascii="Times New Roman" w:hAnsi="Times New Roman" w:cs="Times New Roman"/>
          <w:sz w:val="24"/>
          <w:szCs w:val="24"/>
        </w:rPr>
        <w:t xml:space="preserve">In my opinion, patients everywhere, independent of healthcare or social support systems, struggle to maintain the more expensive lifestyle required to manage </w:t>
      </w:r>
      <w:r>
        <w:rPr>
          <w:rFonts w:ascii="Times New Roman" w:hAnsi="Times New Roman" w:cs="Times New Roman"/>
          <w:sz w:val="24"/>
          <w:szCs w:val="24"/>
        </w:rPr>
        <w:t>eye problems</w:t>
      </w:r>
      <w:r w:rsidRPr="00D01A47">
        <w:rPr>
          <w:rFonts w:ascii="Times New Roman" w:hAnsi="Times New Roman" w:cs="Times New Roman"/>
          <w:sz w:val="24"/>
          <w:szCs w:val="24"/>
        </w:rPr>
        <w:t>. The expense of healthcare in the United States, notably the cost of drugs and the cost of seeing a physician, is far more than in any other country on the planet</w:t>
      </w:r>
      <w:r w:rsidR="00A55B81">
        <w:rPr>
          <w:rFonts w:ascii="Times New Roman" w:hAnsi="Times New Roman" w:cs="Times New Roman"/>
          <w:sz w:val="24"/>
          <w:szCs w:val="24"/>
        </w:rPr>
        <w:t xml:space="preserve"> (Hill-Briggs et al., 2021)</w:t>
      </w:r>
      <w:r w:rsidRPr="00D01A47">
        <w:rPr>
          <w:rFonts w:ascii="Times New Roman" w:hAnsi="Times New Roman" w:cs="Times New Roman"/>
          <w:sz w:val="24"/>
          <w:szCs w:val="24"/>
        </w:rPr>
        <w:t>. Over the last six years, the healthcare system has experienced numerous adjustments; however, people are becoming more accountable for their healthcare costs</w:t>
      </w:r>
      <w:r>
        <w:rPr>
          <w:rFonts w:ascii="Times New Roman" w:hAnsi="Times New Roman" w:cs="Times New Roman"/>
          <w:sz w:val="24"/>
          <w:szCs w:val="24"/>
        </w:rPr>
        <w:t xml:space="preserve">. </w:t>
      </w:r>
      <w:r w:rsidRPr="00BE2189">
        <w:rPr>
          <w:rFonts w:ascii="Times New Roman" w:hAnsi="Times New Roman" w:cs="Times New Roman"/>
          <w:sz w:val="24"/>
          <w:szCs w:val="24"/>
        </w:rPr>
        <w:t xml:space="preserve">The extent to which health services for individuals and populations increase the chances of desired health outcomes and are compatible with current </w:t>
      </w:r>
      <w:r w:rsidRPr="00BE2189">
        <w:rPr>
          <w:rFonts w:ascii="Times New Roman" w:hAnsi="Times New Roman" w:cs="Times New Roman"/>
          <w:sz w:val="24"/>
          <w:szCs w:val="24"/>
        </w:rPr>
        <w:lastRenderedPageBreak/>
        <w:t>professional expertise is characterized as quality of care</w:t>
      </w:r>
      <w:r w:rsidR="004E3969">
        <w:rPr>
          <w:rFonts w:ascii="Times New Roman" w:hAnsi="Times New Roman" w:cs="Times New Roman"/>
          <w:sz w:val="24"/>
          <w:szCs w:val="24"/>
        </w:rPr>
        <w:t>(Hill-Briggs et al., 2021)</w:t>
      </w:r>
      <w:r w:rsidRPr="00BE2189">
        <w:rPr>
          <w:rFonts w:ascii="Times New Roman" w:hAnsi="Times New Roman" w:cs="Times New Roman"/>
          <w:sz w:val="24"/>
          <w:szCs w:val="24"/>
        </w:rPr>
        <w:t>. Inadequate resources of either the patient or the provider, healthcare professionals' biases concerning uninsured clients' behavior, doctors' frustrations with previous experiences caring for uninsured people, or clinicians' fear of malpractice are all examples of how lack of insurance can compromise either the technical or social aspects of care.</w:t>
      </w:r>
    </w:p>
    <w:p w:rsidR="00B66825" w:rsidRPr="00D01A47" w:rsidRDefault="00B66825" w:rsidP="00B6682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Elderly patients</w:t>
      </w:r>
      <w:r w:rsidRPr="004831C5">
        <w:rPr>
          <w:rFonts w:ascii="Times New Roman" w:hAnsi="Times New Roman" w:cs="Times New Roman"/>
          <w:sz w:val="24"/>
          <w:szCs w:val="24"/>
        </w:rPr>
        <w:t xml:space="preserve"> who are uninsured have less accessibility to </w:t>
      </w:r>
      <w:r>
        <w:rPr>
          <w:rFonts w:ascii="Times New Roman" w:hAnsi="Times New Roman" w:cs="Times New Roman"/>
          <w:sz w:val="24"/>
          <w:szCs w:val="24"/>
        </w:rPr>
        <w:t xml:space="preserve">appropriate medical </w:t>
      </w:r>
      <w:r w:rsidRPr="004831C5">
        <w:rPr>
          <w:rFonts w:ascii="Times New Roman" w:hAnsi="Times New Roman" w:cs="Times New Roman"/>
          <w:sz w:val="24"/>
          <w:szCs w:val="24"/>
        </w:rPr>
        <w:t xml:space="preserve">care, receive lower-quality care, and have </w:t>
      </w:r>
      <w:r>
        <w:rPr>
          <w:rFonts w:ascii="Times New Roman" w:hAnsi="Times New Roman" w:cs="Times New Roman"/>
          <w:sz w:val="24"/>
          <w:szCs w:val="24"/>
        </w:rPr>
        <w:t>adverse</w:t>
      </w:r>
      <w:r w:rsidRPr="004831C5">
        <w:rPr>
          <w:rFonts w:ascii="Times New Roman" w:hAnsi="Times New Roman" w:cs="Times New Roman"/>
          <w:sz w:val="24"/>
          <w:szCs w:val="24"/>
        </w:rPr>
        <w:t xml:space="preserve"> health outcomes than those who are </w:t>
      </w:r>
      <w:r>
        <w:rPr>
          <w:rFonts w:ascii="Times New Roman" w:hAnsi="Times New Roman" w:cs="Times New Roman"/>
          <w:sz w:val="24"/>
          <w:szCs w:val="24"/>
        </w:rPr>
        <w:t>insured</w:t>
      </w:r>
      <w:r w:rsidRPr="004831C5">
        <w:rPr>
          <w:rFonts w:ascii="Times New Roman" w:hAnsi="Times New Roman" w:cs="Times New Roman"/>
          <w:sz w:val="24"/>
          <w:szCs w:val="24"/>
        </w:rPr>
        <w:t xml:space="preserve">. </w:t>
      </w:r>
      <w:r w:rsidRPr="00D01A47">
        <w:rPr>
          <w:rFonts w:ascii="Times New Roman" w:hAnsi="Times New Roman" w:cs="Times New Roman"/>
          <w:sz w:val="24"/>
          <w:szCs w:val="24"/>
        </w:rPr>
        <w:t xml:space="preserve">Inequity in living and working situations and the settings in which individuals live have an impact on biological, clinical, and nonclinical variable outcomes related to </w:t>
      </w:r>
      <w:r w:rsidR="005F2FC5">
        <w:rPr>
          <w:rFonts w:ascii="Times New Roman" w:hAnsi="Times New Roman" w:cs="Times New Roman"/>
          <w:sz w:val="24"/>
          <w:szCs w:val="24"/>
        </w:rPr>
        <w:t>chronic illness</w:t>
      </w:r>
      <w:r w:rsidRPr="00D01A47">
        <w:rPr>
          <w:rFonts w:ascii="Times New Roman" w:hAnsi="Times New Roman" w:cs="Times New Roman"/>
          <w:sz w:val="24"/>
          <w:szCs w:val="24"/>
        </w:rPr>
        <w:t xml:space="preserve"> prevention and management</w:t>
      </w:r>
      <w:r w:rsidR="00FA6076">
        <w:rPr>
          <w:rFonts w:ascii="Times New Roman" w:hAnsi="Times New Roman" w:cs="Times New Roman"/>
          <w:sz w:val="24"/>
          <w:szCs w:val="24"/>
        </w:rPr>
        <w:t>(Hill-Briggs et al., 2021)</w:t>
      </w:r>
      <w:r w:rsidRPr="00D01A47">
        <w:rPr>
          <w:rFonts w:ascii="Times New Roman" w:hAnsi="Times New Roman" w:cs="Times New Roman"/>
          <w:sz w:val="24"/>
          <w:szCs w:val="24"/>
        </w:rPr>
        <w:t>. A large body of scientific evidence shows that a specific sort of variation, health inequalities have a negative influence. Uninsured patients experience difficulty affording food, cost-related medicine underuse, unstable housing, and energy instability</w:t>
      </w:r>
      <w:r>
        <w:rPr>
          <w:rFonts w:ascii="Times New Roman" w:hAnsi="Times New Roman" w:cs="Times New Roman"/>
          <w:sz w:val="24"/>
          <w:szCs w:val="24"/>
        </w:rPr>
        <w:t xml:space="preserve"> which is detrimental to their health and quality of </w:t>
      </w:r>
      <w:r w:rsidR="003A436E">
        <w:rPr>
          <w:rFonts w:ascii="Times New Roman" w:hAnsi="Times New Roman" w:cs="Times New Roman"/>
          <w:sz w:val="24"/>
          <w:szCs w:val="24"/>
        </w:rPr>
        <w:t>life.</w:t>
      </w:r>
      <w:r w:rsidR="003A436E" w:rsidRPr="004831C5">
        <w:rPr>
          <w:rFonts w:ascii="Times New Roman" w:hAnsi="Times New Roman" w:cs="Times New Roman"/>
          <w:sz w:val="24"/>
          <w:szCs w:val="24"/>
        </w:rPr>
        <w:t xml:space="preserve"> Expanding</w:t>
      </w:r>
      <w:r w:rsidRPr="004831C5">
        <w:rPr>
          <w:rFonts w:ascii="Times New Roman" w:hAnsi="Times New Roman" w:cs="Times New Roman"/>
          <w:sz w:val="24"/>
          <w:szCs w:val="24"/>
        </w:rPr>
        <w:t xml:space="preserve"> health care </w:t>
      </w:r>
      <w:r>
        <w:rPr>
          <w:rFonts w:ascii="Times New Roman" w:hAnsi="Times New Roman" w:cs="Times New Roman"/>
          <w:sz w:val="24"/>
          <w:szCs w:val="24"/>
        </w:rPr>
        <w:t>insurance</w:t>
      </w:r>
      <w:r w:rsidRPr="004831C5">
        <w:rPr>
          <w:rFonts w:ascii="Times New Roman" w:hAnsi="Times New Roman" w:cs="Times New Roman"/>
          <w:sz w:val="24"/>
          <w:szCs w:val="24"/>
        </w:rPr>
        <w:t xml:space="preserve"> for these individuals could have significant health benefits.</w:t>
      </w:r>
    </w:p>
    <w:p w:rsidR="00B66825" w:rsidRPr="00D01A47" w:rsidRDefault="00B66825" w:rsidP="00B66825">
      <w:pPr>
        <w:spacing w:line="480" w:lineRule="auto"/>
        <w:ind w:firstLine="720"/>
        <w:jc w:val="both"/>
        <w:rPr>
          <w:rFonts w:ascii="Times New Roman" w:hAnsi="Times New Roman" w:cs="Times New Roman"/>
          <w:sz w:val="24"/>
          <w:szCs w:val="24"/>
        </w:rPr>
      </w:pPr>
    </w:p>
    <w:p w:rsidR="00B66825" w:rsidRDefault="00B66825" w:rsidP="00B66825"/>
    <w:p w:rsidR="00A1517F" w:rsidRDefault="00A1517F">
      <w:pPr>
        <w:rPr>
          <w:rFonts w:ascii="Times New Roman" w:hAnsi="Times New Roman" w:cs="Times New Roman"/>
          <w:b/>
          <w:bCs/>
          <w:sz w:val="24"/>
          <w:szCs w:val="24"/>
        </w:rPr>
      </w:pPr>
      <w:r>
        <w:rPr>
          <w:rFonts w:ascii="Times New Roman" w:hAnsi="Times New Roman" w:cs="Times New Roman"/>
          <w:b/>
          <w:bCs/>
          <w:sz w:val="24"/>
          <w:szCs w:val="24"/>
        </w:rPr>
        <w:br w:type="page"/>
      </w:r>
    </w:p>
    <w:p w:rsidR="00284CFB" w:rsidRPr="00284CFB" w:rsidRDefault="00284CFB" w:rsidP="00284CFB">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p>
    <w:p w:rsidR="00B66825" w:rsidRPr="00B66825" w:rsidRDefault="00B66825" w:rsidP="00284CFB">
      <w:pPr>
        <w:spacing w:before="100" w:beforeAutospacing="1" w:after="100" w:afterAutospacing="1" w:line="480" w:lineRule="auto"/>
        <w:ind w:left="567" w:hanging="567"/>
        <w:jc w:val="both"/>
        <w:rPr>
          <w:rFonts w:ascii="Times New Roman" w:hAnsi="Times New Roman" w:cs="Times New Roman"/>
          <w:color w:val="222222"/>
          <w:sz w:val="24"/>
          <w:szCs w:val="24"/>
          <w:shd w:val="clear" w:color="auto" w:fill="FFFFFF"/>
        </w:rPr>
      </w:pPr>
      <w:r w:rsidRPr="00B66825">
        <w:rPr>
          <w:rFonts w:ascii="Times New Roman" w:hAnsi="Times New Roman" w:cs="Times New Roman"/>
          <w:color w:val="222222"/>
          <w:sz w:val="24"/>
          <w:szCs w:val="24"/>
          <w:shd w:val="clear" w:color="auto" w:fill="FFFFFF"/>
        </w:rPr>
        <w:t>Guo, W., Woodward, M. A., Heisler, M., Blachley, T., Corneail, L., Cederna, J., ... &amp; Casey, P. A. N. (2016). Risk factors for visual impairment in an uninsured population and the impact of the Affordable Care Act. </w:t>
      </w:r>
      <w:r w:rsidRPr="00B66825">
        <w:rPr>
          <w:rFonts w:ascii="Times New Roman" w:hAnsi="Times New Roman" w:cs="Times New Roman"/>
          <w:i/>
          <w:iCs/>
          <w:color w:val="222222"/>
          <w:sz w:val="24"/>
          <w:szCs w:val="24"/>
          <w:shd w:val="clear" w:color="auto" w:fill="FFFFFF"/>
        </w:rPr>
        <w:t>Clinics in surgery</w:t>
      </w:r>
      <w:r w:rsidRPr="00B66825">
        <w:rPr>
          <w:rFonts w:ascii="Times New Roman" w:hAnsi="Times New Roman" w:cs="Times New Roman"/>
          <w:color w:val="222222"/>
          <w:sz w:val="24"/>
          <w:szCs w:val="24"/>
          <w:shd w:val="clear" w:color="auto" w:fill="FFFFFF"/>
        </w:rPr>
        <w:t>, </w:t>
      </w:r>
      <w:r w:rsidRPr="00B66825">
        <w:rPr>
          <w:rFonts w:ascii="Times New Roman" w:hAnsi="Times New Roman" w:cs="Times New Roman"/>
          <w:i/>
          <w:iCs/>
          <w:color w:val="222222"/>
          <w:sz w:val="24"/>
          <w:szCs w:val="24"/>
          <w:shd w:val="clear" w:color="auto" w:fill="FFFFFF"/>
        </w:rPr>
        <w:t>1</w:t>
      </w:r>
      <w:r w:rsidRPr="00B66825">
        <w:rPr>
          <w:rFonts w:ascii="Times New Roman" w:hAnsi="Times New Roman" w:cs="Times New Roman"/>
          <w:color w:val="222222"/>
          <w:sz w:val="24"/>
          <w:szCs w:val="24"/>
          <w:shd w:val="clear" w:color="auto" w:fill="FFFFFF"/>
        </w:rPr>
        <w:t>.</w:t>
      </w:r>
    </w:p>
    <w:p w:rsidR="00284CFB" w:rsidRPr="00B66825" w:rsidRDefault="00284CFB" w:rsidP="00284CFB">
      <w:pPr>
        <w:spacing w:before="100" w:beforeAutospacing="1" w:after="100" w:afterAutospacing="1" w:line="480" w:lineRule="auto"/>
        <w:ind w:left="567" w:hanging="567"/>
        <w:jc w:val="both"/>
        <w:rPr>
          <w:rFonts w:ascii="Times New Roman" w:hAnsi="Times New Roman" w:cs="Times New Roman"/>
          <w:color w:val="222222"/>
          <w:sz w:val="24"/>
          <w:szCs w:val="24"/>
          <w:shd w:val="clear" w:color="auto" w:fill="FFFFFF"/>
        </w:rPr>
      </w:pPr>
      <w:r w:rsidRPr="00B66825">
        <w:rPr>
          <w:rFonts w:ascii="Times New Roman" w:hAnsi="Times New Roman" w:cs="Times New Roman"/>
          <w:color w:val="222222"/>
          <w:sz w:val="24"/>
          <w:szCs w:val="24"/>
          <w:shd w:val="clear" w:color="auto" w:fill="FFFFFF"/>
        </w:rPr>
        <w:t>Hill-Briggs, F., Adler, N. E., Berkowitz, S. A., Chin, M. H., Gary-Webb, T. L., Navas-Acien, A., ... &amp;Haire-Joshu, D. (2021). Social determinants of health and diabetes: a scientific review. </w:t>
      </w:r>
      <w:r w:rsidRPr="00B66825">
        <w:rPr>
          <w:rFonts w:ascii="Times New Roman" w:hAnsi="Times New Roman" w:cs="Times New Roman"/>
          <w:i/>
          <w:iCs/>
          <w:color w:val="222222"/>
          <w:sz w:val="24"/>
          <w:szCs w:val="24"/>
          <w:shd w:val="clear" w:color="auto" w:fill="FFFFFF"/>
        </w:rPr>
        <w:t>Diabetes Care</w:t>
      </w:r>
      <w:r w:rsidRPr="00B66825">
        <w:rPr>
          <w:rFonts w:ascii="Times New Roman" w:hAnsi="Times New Roman" w:cs="Times New Roman"/>
          <w:color w:val="222222"/>
          <w:sz w:val="24"/>
          <w:szCs w:val="24"/>
          <w:shd w:val="clear" w:color="auto" w:fill="FFFFFF"/>
        </w:rPr>
        <w:t>, </w:t>
      </w:r>
      <w:r w:rsidRPr="00B66825">
        <w:rPr>
          <w:rFonts w:ascii="Times New Roman" w:hAnsi="Times New Roman" w:cs="Times New Roman"/>
          <w:i/>
          <w:iCs/>
          <w:color w:val="222222"/>
          <w:sz w:val="24"/>
          <w:szCs w:val="24"/>
          <w:shd w:val="clear" w:color="auto" w:fill="FFFFFF"/>
        </w:rPr>
        <w:t>44</w:t>
      </w:r>
      <w:r w:rsidRPr="00B66825">
        <w:rPr>
          <w:rFonts w:ascii="Times New Roman" w:hAnsi="Times New Roman" w:cs="Times New Roman"/>
          <w:color w:val="222222"/>
          <w:sz w:val="24"/>
          <w:szCs w:val="24"/>
          <w:shd w:val="clear" w:color="auto" w:fill="FFFFFF"/>
        </w:rPr>
        <w:t>(1), 258-279.</w:t>
      </w:r>
    </w:p>
    <w:p w:rsidR="007A392C" w:rsidRPr="00B66825" w:rsidRDefault="007A392C" w:rsidP="00284CFB">
      <w:pPr>
        <w:spacing w:before="100" w:beforeAutospacing="1" w:after="100" w:afterAutospacing="1" w:line="480" w:lineRule="auto"/>
        <w:ind w:left="567" w:hanging="567"/>
        <w:jc w:val="both"/>
        <w:rPr>
          <w:rFonts w:ascii="Times New Roman" w:hAnsi="Times New Roman" w:cs="Times New Roman"/>
          <w:color w:val="222222"/>
          <w:sz w:val="24"/>
          <w:szCs w:val="24"/>
          <w:shd w:val="clear" w:color="auto" w:fill="FFFFFF"/>
        </w:rPr>
      </w:pPr>
      <w:r w:rsidRPr="00B66825">
        <w:rPr>
          <w:rFonts w:ascii="Times New Roman" w:hAnsi="Times New Roman" w:cs="Times New Roman"/>
          <w:color w:val="222222"/>
          <w:sz w:val="24"/>
          <w:szCs w:val="24"/>
          <w:shd w:val="clear" w:color="auto" w:fill="FFFFFF"/>
        </w:rPr>
        <w:t>Kim, E. J., Marrast, L., &amp;Conigliaro, J. (2020). COVID-19: magnifying the effect of health disparities. </w:t>
      </w:r>
      <w:r w:rsidRPr="00B66825">
        <w:rPr>
          <w:rFonts w:ascii="Times New Roman" w:hAnsi="Times New Roman" w:cs="Times New Roman"/>
          <w:i/>
          <w:iCs/>
          <w:color w:val="222222"/>
          <w:sz w:val="24"/>
          <w:szCs w:val="24"/>
          <w:shd w:val="clear" w:color="auto" w:fill="FFFFFF"/>
        </w:rPr>
        <w:t>Journal of general internal medicine</w:t>
      </w:r>
      <w:r w:rsidRPr="00B66825">
        <w:rPr>
          <w:rFonts w:ascii="Times New Roman" w:hAnsi="Times New Roman" w:cs="Times New Roman"/>
          <w:color w:val="222222"/>
          <w:sz w:val="24"/>
          <w:szCs w:val="24"/>
          <w:shd w:val="clear" w:color="auto" w:fill="FFFFFF"/>
        </w:rPr>
        <w:t>, </w:t>
      </w:r>
      <w:r w:rsidRPr="00B66825">
        <w:rPr>
          <w:rFonts w:ascii="Times New Roman" w:hAnsi="Times New Roman" w:cs="Times New Roman"/>
          <w:i/>
          <w:iCs/>
          <w:color w:val="222222"/>
          <w:sz w:val="24"/>
          <w:szCs w:val="24"/>
          <w:shd w:val="clear" w:color="auto" w:fill="FFFFFF"/>
        </w:rPr>
        <w:t>35</w:t>
      </w:r>
      <w:r w:rsidRPr="00B66825">
        <w:rPr>
          <w:rFonts w:ascii="Times New Roman" w:hAnsi="Times New Roman" w:cs="Times New Roman"/>
          <w:color w:val="222222"/>
          <w:sz w:val="24"/>
          <w:szCs w:val="24"/>
          <w:shd w:val="clear" w:color="auto" w:fill="FFFFFF"/>
        </w:rPr>
        <w:t>(8), 2441.</w:t>
      </w:r>
    </w:p>
    <w:p w:rsidR="00B6193A" w:rsidRPr="00B66825" w:rsidRDefault="00B6193A" w:rsidP="00284CFB">
      <w:pPr>
        <w:spacing w:before="100" w:beforeAutospacing="1" w:after="100" w:afterAutospacing="1" w:line="480" w:lineRule="auto"/>
        <w:ind w:left="567" w:hanging="567"/>
        <w:jc w:val="both"/>
        <w:rPr>
          <w:rFonts w:ascii="Times New Roman" w:eastAsia="Times New Roman" w:hAnsi="Times New Roman" w:cs="Times New Roman"/>
          <w:sz w:val="24"/>
          <w:szCs w:val="24"/>
        </w:rPr>
      </w:pPr>
      <w:r w:rsidRPr="00B66825">
        <w:rPr>
          <w:rFonts w:ascii="Times New Roman" w:hAnsi="Times New Roman" w:cs="Times New Roman"/>
          <w:color w:val="222222"/>
          <w:sz w:val="24"/>
          <w:szCs w:val="24"/>
          <w:shd w:val="clear" w:color="auto" w:fill="FFFFFF"/>
        </w:rPr>
        <w:t>Vaajanen, A., &amp;Tuulonen, A. (2016). Abnormal increase of intraocular pressure in fellow eye after severe ocular trauma: A case report. </w:t>
      </w:r>
      <w:r w:rsidRPr="00B66825">
        <w:rPr>
          <w:rFonts w:ascii="Times New Roman" w:hAnsi="Times New Roman" w:cs="Times New Roman"/>
          <w:i/>
          <w:iCs/>
          <w:color w:val="222222"/>
          <w:sz w:val="24"/>
          <w:szCs w:val="24"/>
          <w:shd w:val="clear" w:color="auto" w:fill="FFFFFF"/>
        </w:rPr>
        <w:t>Medicine</w:t>
      </w:r>
      <w:r w:rsidRPr="00B66825">
        <w:rPr>
          <w:rFonts w:ascii="Times New Roman" w:hAnsi="Times New Roman" w:cs="Times New Roman"/>
          <w:color w:val="222222"/>
          <w:sz w:val="24"/>
          <w:szCs w:val="24"/>
          <w:shd w:val="clear" w:color="auto" w:fill="FFFFFF"/>
        </w:rPr>
        <w:t>, </w:t>
      </w:r>
      <w:r w:rsidRPr="00B66825">
        <w:rPr>
          <w:rFonts w:ascii="Times New Roman" w:hAnsi="Times New Roman" w:cs="Times New Roman"/>
          <w:i/>
          <w:iCs/>
          <w:color w:val="222222"/>
          <w:sz w:val="24"/>
          <w:szCs w:val="24"/>
          <w:shd w:val="clear" w:color="auto" w:fill="FFFFFF"/>
        </w:rPr>
        <w:t>95</w:t>
      </w:r>
      <w:r w:rsidRPr="00B66825">
        <w:rPr>
          <w:rFonts w:ascii="Times New Roman" w:hAnsi="Times New Roman" w:cs="Times New Roman"/>
          <w:color w:val="222222"/>
          <w:sz w:val="24"/>
          <w:szCs w:val="24"/>
          <w:shd w:val="clear" w:color="auto" w:fill="FFFFFF"/>
        </w:rPr>
        <w:t>(31).</w:t>
      </w:r>
    </w:p>
    <w:p w:rsidR="00284CFB" w:rsidRPr="00D91EBD" w:rsidRDefault="00284CFB" w:rsidP="00284CFB">
      <w:pPr>
        <w:spacing w:line="480" w:lineRule="auto"/>
        <w:rPr>
          <w:sz w:val="24"/>
          <w:szCs w:val="24"/>
        </w:rPr>
      </w:pPr>
    </w:p>
    <w:p w:rsidR="00284CFB" w:rsidRPr="00D91EBD" w:rsidRDefault="00284CFB" w:rsidP="00284CFB">
      <w:pPr>
        <w:spacing w:line="480" w:lineRule="auto"/>
        <w:rPr>
          <w:sz w:val="24"/>
          <w:szCs w:val="24"/>
        </w:rPr>
      </w:pPr>
    </w:p>
    <w:p w:rsidR="00284CFB" w:rsidRPr="00D91EBD" w:rsidRDefault="00284CFB" w:rsidP="00284CFB">
      <w:pPr>
        <w:spacing w:line="480" w:lineRule="auto"/>
        <w:rPr>
          <w:sz w:val="24"/>
          <w:szCs w:val="24"/>
        </w:rPr>
      </w:pPr>
    </w:p>
    <w:p w:rsidR="00284CFB" w:rsidRDefault="00284CFB" w:rsidP="00284CFB">
      <w:pPr>
        <w:spacing w:line="480" w:lineRule="auto"/>
      </w:pPr>
    </w:p>
    <w:p w:rsidR="00284CFB" w:rsidRDefault="00284CFB" w:rsidP="00284CFB">
      <w:pPr>
        <w:spacing w:line="480" w:lineRule="auto"/>
      </w:pPr>
    </w:p>
    <w:p w:rsidR="00284CFB" w:rsidRDefault="00284CFB" w:rsidP="00284CFB">
      <w:pPr>
        <w:spacing w:line="480" w:lineRule="auto"/>
      </w:pPr>
    </w:p>
    <w:p w:rsidR="00284CFB" w:rsidRDefault="00284CFB" w:rsidP="00284CFB">
      <w:pPr>
        <w:spacing w:line="480" w:lineRule="auto"/>
      </w:pPr>
    </w:p>
    <w:p w:rsidR="00284CFB" w:rsidRPr="00A912F8" w:rsidRDefault="00284CFB" w:rsidP="00284CFB">
      <w:pPr>
        <w:spacing w:line="480" w:lineRule="auto"/>
      </w:pPr>
    </w:p>
    <w:p w:rsidR="00284CFB" w:rsidRDefault="00284CFB" w:rsidP="00284CFB">
      <w:pPr>
        <w:spacing w:line="480" w:lineRule="auto"/>
      </w:pPr>
    </w:p>
    <w:p w:rsidR="00284CFB" w:rsidRDefault="00284CFB" w:rsidP="00284CFB">
      <w:pPr>
        <w:spacing w:line="480" w:lineRule="auto"/>
      </w:pPr>
    </w:p>
    <w:p w:rsidR="00284CFB" w:rsidRDefault="00284CFB" w:rsidP="00284CFB">
      <w:pPr>
        <w:spacing w:line="480" w:lineRule="auto"/>
      </w:pPr>
    </w:p>
    <w:p w:rsidR="00284CFB" w:rsidRDefault="00284CFB" w:rsidP="00284CFB">
      <w:pPr>
        <w:spacing w:line="480" w:lineRule="auto"/>
      </w:pPr>
    </w:p>
    <w:p w:rsidR="00284CFB" w:rsidRDefault="00284CFB" w:rsidP="00284CFB">
      <w:pPr>
        <w:spacing w:line="480" w:lineRule="auto"/>
      </w:pPr>
    </w:p>
    <w:p w:rsidR="00284CFB" w:rsidRDefault="00284CFB"/>
    <w:sectPr w:rsidR="00284CFB" w:rsidSect="00B76C3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A38" w:rsidRDefault="00B41A38" w:rsidP="00B76C31">
      <w:pPr>
        <w:spacing w:after="0" w:line="240" w:lineRule="auto"/>
      </w:pPr>
      <w:r>
        <w:separator/>
      </w:r>
    </w:p>
  </w:endnote>
  <w:endnote w:type="continuationSeparator" w:id="1">
    <w:p w:rsidR="00B41A38" w:rsidRDefault="00B41A38" w:rsidP="00B76C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A38" w:rsidRDefault="00B41A38" w:rsidP="00B76C31">
      <w:pPr>
        <w:spacing w:after="0" w:line="240" w:lineRule="auto"/>
      </w:pPr>
      <w:r>
        <w:separator/>
      </w:r>
    </w:p>
  </w:footnote>
  <w:footnote w:type="continuationSeparator" w:id="1">
    <w:p w:rsidR="00B41A38" w:rsidRDefault="00B41A38" w:rsidP="00B76C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4F05B2"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5F2FC5"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3A436E">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rsidR="008F1548" w:rsidRDefault="00B41A3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84CFB"/>
    <w:rsid w:val="000557EB"/>
    <w:rsid w:val="00091B75"/>
    <w:rsid w:val="000A64EF"/>
    <w:rsid w:val="00234F93"/>
    <w:rsid w:val="00284CFB"/>
    <w:rsid w:val="00397506"/>
    <w:rsid w:val="003A436E"/>
    <w:rsid w:val="004A7CCA"/>
    <w:rsid w:val="004E3969"/>
    <w:rsid w:val="004F05B2"/>
    <w:rsid w:val="005F2FC5"/>
    <w:rsid w:val="006600CF"/>
    <w:rsid w:val="007A392C"/>
    <w:rsid w:val="00885EB0"/>
    <w:rsid w:val="009B302F"/>
    <w:rsid w:val="00A1517F"/>
    <w:rsid w:val="00A55B81"/>
    <w:rsid w:val="00AE681C"/>
    <w:rsid w:val="00B41A38"/>
    <w:rsid w:val="00B6193A"/>
    <w:rsid w:val="00B66825"/>
    <w:rsid w:val="00B76C31"/>
    <w:rsid w:val="00CE01E7"/>
    <w:rsid w:val="00DB7101"/>
    <w:rsid w:val="00FA60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C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CF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4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CFB"/>
  </w:style>
  <w:style w:type="paragraph" w:customStyle="1" w:styleId="Default">
    <w:name w:val="Default"/>
    <w:rsid w:val="00284CFB"/>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2021-08-04T19:36:00Z</dcterms:created>
  <dcterms:modified xsi:type="dcterms:W3CDTF">2021-08-04T19:36:00Z</dcterms:modified>
</cp:coreProperties>
</file>